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175FBF">
      <w:pPr>
        <w:rPr>
          <w:rFonts w:ascii="Arial" w:hAnsi="Arial" w:cs="Arial"/>
          <w:color w:val="36A9E0" w:themeColor="accent1"/>
        </w:rPr>
      </w:pPr>
      <w:r>
        <w:rPr>
          <w:rFonts w:ascii="Arial Narrow" w:eastAsia="Times New Roman" w:hAnsi="Arial Narrow"/>
          <w:noProof/>
          <w:color w:val="000000"/>
          <w:lang w:val="en-GB" w:eastAsia="en-GB"/>
        </w:rPr>
        <mc:AlternateContent>
          <mc:Choice Requires="wpg">
            <w:drawing>
              <wp:anchor distT="0" distB="0" distL="114300" distR="114300" simplePos="0" relativeHeight="251663360" behindDoc="0" locked="0" layoutInCell="1" allowOverlap="1" wp14:anchorId="3010AAE8" wp14:editId="0A794D64">
                <wp:simplePos x="0" y="0"/>
                <wp:positionH relativeFrom="margin">
                  <wp:posOffset>2211780</wp:posOffset>
                </wp:positionH>
                <wp:positionV relativeFrom="paragraph">
                  <wp:posOffset>109269</wp:posOffset>
                </wp:positionV>
                <wp:extent cx="2069152" cy="12382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2382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15pt;margin-top:8.6pt;width:162.95pt;height:97.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rsidR="00175FBF" w:rsidRDefault="00175FBF" w:rsidP="00175FBF">
      <w:pPr>
        <w:rPr>
          <w:rFonts w:ascii="Arial Narrow" w:eastAsia="Times New Roman" w:hAnsi="Arial Narrow"/>
          <w:color w:val="000000"/>
          <w:lang w:eastAsia="en-GB"/>
        </w:rPr>
      </w:pPr>
      <w:r>
        <w:rPr>
          <w:noProof/>
          <w:lang w:val="en-GB" w:eastAsia="en-GB"/>
        </w:rPr>
        <w:drawing>
          <wp:anchor distT="0" distB="0" distL="114300" distR="114300" simplePos="0" relativeHeight="251664384" behindDoc="1" locked="0" layoutInCell="1" allowOverlap="1" wp14:anchorId="2D4FEE5E" wp14:editId="6E78592C">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0"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Netball policies and procedures.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lastRenderedPageBreak/>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lastRenderedPageBreak/>
        <w:t>Roles and responsibilities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4"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They need to consider the reasonable steps which should be taken to show you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5"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6"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665FE5">
        <w:rPr>
          <w:rFonts w:ascii="Arial" w:eastAsiaTheme="minorHAnsi" w:hAnsi="Arial" w:cs="Arial"/>
          <w:color w:val="00B0F0"/>
          <w:sz w:val="20"/>
          <w:szCs w:val="20"/>
          <w:bdr w:val="none" w:sz="0" w:space="0" w:color="auto"/>
          <w:lang w:val="en-GB"/>
        </w:rPr>
        <w:instrText>HYPERLINK "C:\\Users\\alex.sexton\\AppData\\Local\\Microsoft\\Windows\\INetCache\\Content.Outlook\\3L5HCOGN\\Safeguarding Disciplinary Regulations July 2015.docx"</w:instrText>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r w:rsidR="006A2704"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7"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19"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0"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1"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2"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3"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rsidR="006A2704" w:rsidRPr="006A2704" w:rsidRDefault="006E79AC"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5"/>
      <w:footerReference w:type="default" r:id="rId26"/>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AC" w:rsidRDefault="006E79AC">
      <w:r>
        <w:separator/>
      </w:r>
    </w:p>
  </w:endnote>
  <w:endnote w:type="continuationSeparator" w:id="0">
    <w:p w:rsidR="006E79AC" w:rsidRDefault="006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CE78EE">
      <w:rPr>
        <w:rFonts w:ascii="Arial" w:hAnsi="Arial" w:cs="Arial"/>
        <w:noProof/>
        <w:color w:val="70BAE7" w:themeColor="accent5"/>
        <w:sz w:val="22"/>
        <w:szCs w:val="22"/>
      </w:rPr>
      <w:t>2</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AC" w:rsidRDefault="006E79AC">
      <w:r>
        <w:separator/>
      </w:r>
    </w:p>
  </w:footnote>
  <w:footnote w:type="continuationSeparator" w:id="0">
    <w:p w:rsidR="006E79AC" w:rsidRDefault="006E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107BDD"/>
    <w:rsid w:val="00112F93"/>
    <w:rsid w:val="00115152"/>
    <w:rsid w:val="00157974"/>
    <w:rsid w:val="00157F27"/>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D723B"/>
    <w:rsid w:val="00603599"/>
    <w:rsid w:val="006342BE"/>
    <w:rsid w:val="00662DF2"/>
    <w:rsid w:val="00665FE5"/>
    <w:rsid w:val="006A2704"/>
    <w:rsid w:val="006E4C11"/>
    <w:rsid w:val="006E79AC"/>
    <w:rsid w:val="0071605E"/>
    <w:rsid w:val="00725A6B"/>
    <w:rsid w:val="00776041"/>
    <w:rsid w:val="00793BE0"/>
    <w:rsid w:val="007C7E94"/>
    <w:rsid w:val="007D64EB"/>
    <w:rsid w:val="007F6750"/>
    <w:rsid w:val="008043BC"/>
    <w:rsid w:val="00826688"/>
    <w:rsid w:val="0084499A"/>
    <w:rsid w:val="00860B36"/>
    <w:rsid w:val="008D34DA"/>
    <w:rsid w:val="00904D69"/>
    <w:rsid w:val="00977756"/>
    <w:rsid w:val="00A52C7E"/>
    <w:rsid w:val="00AA317A"/>
    <w:rsid w:val="00AF2667"/>
    <w:rsid w:val="00BC6316"/>
    <w:rsid w:val="00BE64ED"/>
    <w:rsid w:val="00C06F80"/>
    <w:rsid w:val="00C30FCB"/>
    <w:rsid w:val="00C90022"/>
    <w:rsid w:val="00CC2753"/>
    <w:rsid w:val="00CC2A5F"/>
    <w:rsid w:val="00CD0504"/>
    <w:rsid w:val="00CE78EE"/>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9CC44-2B73-4B4B-8564-3EC465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nspcc.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opitnow.org.uk" TargetMode="External"/><Relationship Id="rId7" Type="http://schemas.openxmlformats.org/officeDocument/2006/relationships/image" Target="media/image1.pn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childline.org.uk/Pages/Home.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landnetball.co.uk/make-the-game/ENjoy_ENsure_ENtrust/Safeguarding/Wellbeing" TargetMode="External"/><Relationship Id="rId20" Type="http://schemas.openxmlformats.org/officeDocument/2006/relationships/hyperlink" Target="http://www.mosac.org.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hyperlink" Target="http://www.bullying.co.uk/advice-for-parents/advice-for-parents-about-bullying-in-sports/" TargetMode="External"/><Relationship Id="rId5" Type="http://schemas.openxmlformats.org/officeDocument/2006/relationships/footnotes" Target="footnotes.xml"/><Relationship Id="rId15" Type="http://schemas.openxmlformats.org/officeDocument/2006/relationships/hyperlink" Target="file:///C:\Users\alex.sexton\AppData\Local\Microsoft\Windows\INetCache\Content.Outlook\3L5HCOGN\Reporting%20a%20Concern%20Procedure.docx" TargetMode="External"/><Relationship Id="rId23" Type="http://schemas.openxmlformats.org/officeDocument/2006/relationships/hyperlink" Target="http://www.camhscares.nhs.uk" TargetMode="External"/><Relationship Id="rId28" Type="http://schemas.openxmlformats.org/officeDocument/2006/relationships/theme" Target="theme/theme1.xml"/><Relationship Id="rId10" Type="http://schemas.openxmlformats.org/officeDocument/2006/relationships/hyperlink" Target="file:///\\fileserver2k8\mainstore\Commercial\Olivia\ENjoy,%20ENsure,%20ENtrust\ENjoy_ENsure_Entrust\Safeguarding\Reporting%20a%20Concern%20Procedure.docx" TargetMode="External"/><Relationship Id="rId19" Type="http://schemas.openxmlformats.org/officeDocument/2006/relationships/hyperlink" Target="http://www.youngminds.org.uk/for_children_young_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andnetball.co.uk/make-the-game/ENjoy_ENsure_ENtrust/Safeguarding/DBS" TargetMode="External"/><Relationship Id="rId22" Type="http://schemas.openxmlformats.org/officeDocument/2006/relationships/hyperlink" Target="mailto:help@stopitnow.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clare</cp:lastModifiedBy>
  <cp:revision>2</cp:revision>
  <cp:lastPrinted>2015-02-02T14:43:00Z</cp:lastPrinted>
  <dcterms:created xsi:type="dcterms:W3CDTF">2017-10-24T11:59:00Z</dcterms:created>
  <dcterms:modified xsi:type="dcterms:W3CDTF">2017-10-24T11:59:00Z</dcterms:modified>
</cp:coreProperties>
</file>